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A3834" w14:textId="77777777" w:rsidR="00DC6358" w:rsidRDefault="00DC6358" w:rsidP="00DC6358">
      <w:pPr>
        <w:pStyle w:val="BodyText"/>
        <w:spacing w:before="4"/>
        <w:rPr>
          <w:b/>
          <w:sz w:val="7"/>
        </w:rPr>
      </w:pPr>
    </w:p>
    <w:p w14:paraId="006B11B7" w14:textId="1B083919" w:rsidR="00DC6358" w:rsidRPr="00EB337A" w:rsidRDefault="00DC6358" w:rsidP="00DC635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7066E6">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3D7B49" w:rsidRPr="003D7B49">
        <w:rPr>
          <w:rFonts w:cs="Arial"/>
          <w:b/>
          <w:i/>
          <w:noProof/>
          <w:sz w:val="24"/>
          <w:szCs w:val="24"/>
          <w:lang w:val="en-US"/>
        </w:rPr>
        <w:t>R4-2100753</w:t>
      </w:r>
    </w:p>
    <w:p w14:paraId="243DBB2D" w14:textId="42F4FEAF" w:rsidR="00DC6358" w:rsidRPr="000A1846" w:rsidRDefault="00DC6358" w:rsidP="00DC6358">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w:t>
      </w:r>
      <w:r w:rsidR="007066E6">
        <w:rPr>
          <w:rFonts w:cs="Arial"/>
          <w:b/>
          <w:noProof/>
          <w:sz w:val="24"/>
          <w:lang w:val="en-US"/>
        </w:rPr>
        <w:t>5</w:t>
      </w:r>
      <w:r w:rsidR="007066E6">
        <w:rPr>
          <w:rFonts w:cs="Arial"/>
          <w:b/>
          <w:noProof/>
          <w:sz w:val="24"/>
          <w:vertAlign w:val="superscript"/>
          <w:lang w:val="en-US"/>
        </w:rPr>
        <w:t>th</w:t>
      </w:r>
      <w:r>
        <w:rPr>
          <w:rFonts w:cs="Arial"/>
          <w:b/>
          <w:noProof/>
          <w:sz w:val="24"/>
          <w:lang w:val="en-US"/>
        </w:rPr>
        <w:t xml:space="preserve"> </w:t>
      </w:r>
      <w:r w:rsidR="007066E6">
        <w:rPr>
          <w:rFonts w:cs="Arial"/>
          <w:b/>
          <w:noProof/>
          <w:sz w:val="24"/>
          <w:lang w:val="en-US"/>
        </w:rPr>
        <w:t xml:space="preserve">January </w:t>
      </w:r>
      <w:r w:rsidRPr="000A1846">
        <w:rPr>
          <w:rFonts w:cs="Arial"/>
          <w:b/>
          <w:noProof/>
          <w:sz w:val="24"/>
          <w:lang w:val="en-US"/>
        </w:rPr>
        <w:t xml:space="preserve">– </w:t>
      </w:r>
      <w:r w:rsidR="007066E6">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w:t>
      </w:r>
      <w:r w:rsidR="007066E6">
        <w:rPr>
          <w:rFonts w:cs="Arial"/>
          <w:b/>
          <w:noProof/>
          <w:sz w:val="24"/>
          <w:lang w:val="en-US"/>
        </w:rPr>
        <w:t>February</w:t>
      </w:r>
      <w:r w:rsidRPr="000A1846">
        <w:rPr>
          <w:rFonts w:cs="Arial"/>
          <w:b/>
          <w:noProof/>
          <w:sz w:val="24"/>
          <w:lang w:val="en-US"/>
        </w:rPr>
        <w:t>, 202</w:t>
      </w:r>
      <w:r w:rsidR="007066E6">
        <w:rPr>
          <w:rFonts w:cs="Arial"/>
          <w:b/>
          <w:noProof/>
          <w:sz w:val="24"/>
          <w:lang w:val="en-US"/>
        </w:rPr>
        <w:t>1</w:t>
      </w:r>
    </w:p>
    <w:p w14:paraId="79F3DC15" w14:textId="77777777" w:rsidR="00DC6358" w:rsidRPr="00EB337A" w:rsidRDefault="00DC6358" w:rsidP="00DC6358">
      <w:pPr>
        <w:rPr>
          <w:rFonts w:ascii="Arial" w:hAnsi="Arial" w:cs="Arial"/>
          <w:b/>
          <w:noProof/>
          <w:sz w:val="24"/>
          <w:szCs w:val="24"/>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333B2105" w14:textId="064F3A31" w:rsidR="007066E6"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CE134F">
        <w:rPr>
          <w:sz w:val="24"/>
          <w:szCs w:val="24"/>
        </w:rPr>
        <w:t>Spectrum utilization with channel raster and PRB grid alignment</w:t>
      </w:r>
    </w:p>
    <w:p w14:paraId="632E5E14" w14:textId="68421DC2"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CE134F">
        <w:rPr>
          <w:sz w:val="24"/>
          <w:szCs w:val="24"/>
        </w:rPr>
        <w:t>9.22.2</w:t>
      </w:r>
      <w:r w:rsidR="007066E6" w:rsidRPr="00B86985">
        <w:rPr>
          <w:sz w:val="24"/>
          <w:szCs w:val="24"/>
        </w:rPr>
        <w:t xml:space="preserve"> </w:t>
      </w:r>
      <w:r w:rsidRPr="00B86985">
        <w:rPr>
          <w:sz w:val="24"/>
          <w:szCs w:val="24"/>
        </w:rPr>
        <w:t>[</w:t>
      </w:r>
      <w:r w:rsidR="00CE134F" w:rsidRPr="00CE134F">
        <w:rPr>
          <w:sz w:val="24"/>
          <w:szCs w:val="24"/>
        </w:rPr>
        <w:t>NR_FR1_35MHz_45MHz_BW-Core</w:t>
      </w:r>
      <w:r w:rsidRPr="00B86985">
        <w:rPr>
          <w:sz w:val="24"/>
          <w:szCs w:val="24"/>
        </w:rPr>
        <w:t>]</w:t>
      </w:r>
    </w:p>
    <w:p w14:paraId="04DC1DD4" w14:textId="4DE449F4" w:rsidR="00DC6358" w:rsidRPr="0072093D" w:rsidRDefault="00DC6358" w:rsidP="00DC6358">
      <w:pPr>
        <w:rPr>
          <w:sz w:val="24"/>
          <w:szCs w:val="24"/>
        </w:rPr>
      </w:pPr>
      <w:r w:rsidRPr="0072093D">
        <w:rPr>
          <w:b/>
          <w:sz w:val="24"/>
          <w:szCs w:val="24"/>
        </w:rPr>
        <w:t>Document for:</w:t>
      </w:r>
      <w:r w:rsidRPr="0072093D">
        <w:rPr>
          <w:b/>
          <w:sz w:val="24"/>
          <w:szCs w:val="24"/>
        </w:rPr>
        <w:tab/>
      </w:r>
      <w:r w:rsidR="00162C2D">
        <w:rPr>
          <w:sz w:val="24"/>
          <w:szCs w:val="24"/>
        </w:rPr>
        <w:t>Approval</w:t>
      </w:r>
    </w:p>
    <w:p w14:paraId="1D3FC244" w14:textId="77777777" w:rsidR="00DC6358" w:rsidRPr="009153FC" w:rsidRDefault="00DC6358" w:rsidP="00DC6358">
      <w:pPr>
        <w:pStyle w:val="Heading1"/>
      </w:pPr>
      <w:r w:rsidRPr="009153FC">
        <w:t>Introduction</w:t>
      </w:r>
    </w:p>
    <w:p w14:paraId="0699AECB" w14:textId="4FDE8A30" w:rsidR="00CE134F" w:rsidRDefault="00E933BB" w:rsidP="00CE134F">
      <w:r>
        <w:t>T</w:t>
      </w:r>
      <w:r w:rsidR="001F46D8" w:rsidRPr="001F46D8">
        <w:t>his contribution</w:t>
      </w:r>
      <w:r>
        <w:t xml:space="preserve"> is about</w:t>
      </w:r>
      <w:r w:rsidR="001F46D8" w:rsidRPr="001F46D8">
        <w:t xml:space="preserve"> how legacy UE</w:t>
      </w:r>
      <w:r w:rsidR="001F46D8">
        <w:t>s</w:t>
      </w:r>
      <w:r w:rsidR="001F46D8" w:rsidRPr="001F46D8">
        <w:t xml:space="preserve"> can be </w:t>
      </w:r>
      <w:r w:rsidR="00081BD9">
        <w:t xml:space="preserve">efficiently </w:t>
      </w:r>
      <w:r w:rsidR="001F46D8" w:rsidRPr="001F46D8">
        <w:t xml:space="preserve">supported within a new channel bandwidth, if the proposed spectrum utilization </w:t>
      </w:r>
      <w:r>
        <w:t>prevent</w:t>
      </w:r>
      <w:r w:rsidR="001F46D8" w:rsidRPr="001F46D8">
        <w:t xml:space="preserve">s </w:t>
      </w:r>
      <w:r>
        <w:t>simul</w:t>
      </w:r>
      <w:r w:rsidR="001F46D8" w:rsidRPr="001F46D8">
        <w:t>t</w:t>
      </w:r>
      <w:r>
        <w:t>aneous</w:t>
      </w:r>
      <w:r w:rsidR="00081BD9">
        <w:br/>
        <w:t xml:space="preserve">- </w:t>
      </w:r>
      <w:r w:rsidR="001F46D8" w:rsidRPr="001F46D8">
        <w:t xml:space="preserve">PRB grid alignment between </w:t>
      </w:r>
      <w:r w:rsidR="00081BD9">
        <w:t xml:space="preserve">the </w:t>
      </w:r>
      <w:r w:rsidR="001F46D8" w:rsidRPr="001F46D8">
        <w:t xml:space="preserve">new and </w:t>
      </w:r>
      <w:r w:rsidR="00081BD9">
        <w:t xml:space="preserve">the </w:t>
      </w:r>
      <w:r w:rsidR="001F46D8" w:rsidRPr="001F46D8">
        <w:t>legacy channel bandwidth</w:t>
      </w:r>
      <w:r>
        <w:t xml:space="preserve"> and</w:t>
      </w:r>
      <w:r w:rsidR="00081BD9">
        <w:br/>
        <w:t>-</w:t>
      </w:r>
      <w:r>
        <w:t xml:space="preserve"> channel raster alignments of each of the new and the legacy </w:t>
      </w:r>
      <w:r w:rsidR="002626BC">
        <w:t xml:space="preserve">UE </w:t>
      </w:r>
      <w:r>
        <w:t>channel bandwidths</w:t>
      </w:r>
      <w:r w:rsidR="001F46D8" w:rsidRPr="001F46D8">
        <w:t>.</w:t>
      </w:r>
    </w:p>
    <w:p w14:paraId="68301C53" w14:textId="1B40FD81" w:rsidR="002A2F73" w:rsidRPr="00DC6358" w:rsidRDefault="002A2F73" w:rsidP="002A2F73">
      <w:pPr>
        <w:pStyle w:val="Heading1"/>
      </w:pPr>
      <w:r>
        <w:t>Discussion</w:t>
      </w:r>
    </w:p>
    <w:p w14:paraId="704CD952" w14:textId="223917DA" w:rsidR="001F46D8" w:rsidRPr="001F46D8" w:rsidRDefault="001F46D8" w:rsidP="00D14595">
      <w:pPr>
        <w:rPr>
          <w:rFonts w:eastAsia="ＭＳ Ｐゴシック"/>
        </w:rPr>
      </w:pPr>
      <w:r>
        <w:t>During the email discussion in RAN4#97</w:t>
      </w:r>
      <w:r w:rsidR="00962D64">
        <w:t>-</w:t>
      </w:r>
      <w:r>
        <w:t>e [1], an issue how to support legacy UEs in a new channel bandwidth was raised.</w:t>
      </w:r>
    </w:p>
    <w:p w14:paraId="2882AC44" w14:textId="62883CC5" w:rsidR="001F46D8" w:rsidRDefault="001F46D8" w:rsidP="001F46D8">
      <w:r>
        <w:t>If N</w:t>
      </w:r>
      <w:r w:rsidRPr="003D7B49">
        <w:rPr>
          <w:vertAlign w:val="subscript"/>
        </w:rPr>
        <w:t>RB</w:t>
      </w:r>
      <w:r>
        <w:t>=243 is used for 45 MHz (with 15</w:t>
      </w:r>
      <w:r w:rsidR="0098750B">
        <w:t xml:space="preserve"> </w:t>
      </w:r>
      <w:r>
        <w:t xml:space="preserve">kHz SCS), legacy UEs need to be configured with </w:t>
      </w:r>
      <w:r w:rsidR="0098750B">
        <w:t xml:space="preserve">a </w:t>
      </w:r>
      <w:r>
        <w:t xml:space="preserve">smaller </w:t>
      </w:r>
      <w:r w:rsidR="0098750B">
        <w:t xml:space="preserve">number of </w:t>
      </w:r>
      <w:r>
        <w:t>PRB</w:t>
      </w:r>
      <w:r w:rsidR="0098750B">
        <w:t>s</w:t>
      </w:r>
      <w:r>
        <w:t xml:space="preserve"> within 45 MHz channel bandwidth. For example, N</w:t>
      </w:r>
      <w:r w:rsidRPr="003D7B49">
        <w:rPr>
          <w:vertAlign w:val="subscript"/>
        </w:rPr>
        <w:t>RB</w:t>
      </w:r>
      <w:r>
        <w:t>=216 can be utilized with 40 MHz channel bandwidth for such legacy UEs.</w:t>
      </w:r>
    </w:p>
    <w:p w14:paraId="7F589045" w14:textId="1F898491" w:rsidR="001F46D8" w:rsidRDefault="00010021" w:rsidP="001F46D8">
      <w:r>
        <w:t>Since 216 is even and 243 is odd, t</w:t>
      </w:r>
      <w:r w:rsidR="001F46D8">
        <w:t xml:space="preserve">here is no common 100 kHz channel raster for 40 MHz and 45 MHz channel bandwidths that can keep the same PRB grid among them. Thus, the PRB grid nesting does not work for </w:t>
      </w:r>
      <w:r w:rsidR="0098750B">
        <w:t xml:space="preserve">these </w:t>
      </w:r>
      <w:r w:rsidR="001F46D8">
        <w:t>different channel bandwidths among new UE and legacy UE</w:t>
      </w:r>
      <w:r w:rsidR="00516766">
        <w:t xml:space="preserve"> channel bandwidths</w:t>
      </w:r>
      <w:r w:rsidR="001F46D8">
        <w:t>.</w:t>
      </w:r>
    </w:p>
    <w:p w14:paraId="38178173" w14:textId="0E2CF7CA" w:rsidR="001F46D8" w:rsidRDefault="001F46D8" w:rsidP="001F46D8">
      <w:r>
        <w:t xml:space="preserve">This is troublesome for </w:t>
      </w:r>
      <w:r w:rsidR="00105120">
        <w:t xml:space="preserve">a </w:t>
      </w:r>
      <w:r>
        <w:t>gNB to support legacy UEs in a new</w:t>
      </w:r>
      <w:r w:rsidR="00962D64">
        <w:t>,</w:t>
      </w:r>
      <w:r>
        <w:t xml:space="preserve"> wider channel bandwidth. If the </w:t>
      </w:r>
      <w:r w:rsidR="0098750B">
        <w:t xml:space="preserve">PRB </w:t>
      </w:r>
      <w:r>
        <w:t xml:space="preserve">grid </w:t>
      </w:r>
      <w:r w:rsidR="0098750B">
        <w:t>alignment</w:t>
      </w:r>
      <w:r>
        <w:t xml:space="preserve"> </w:t>
      </w:r>
      <w:r w:rsidR="00973E1B">
        <w:t>wa</w:t>
      </w:r>
      <w:r>
        <w:t xml:space="preserve">s broken, </w:t>
      </w:r>
      <w:r w:rsidR="007A002A">
        <w:t xml:space="preserve">a separation of the </w:t>
      </w:r>
      <w:r w:rsidR="00962D64">
        <w:t xml:space="preserve">two incompatible </w:t>
      </w:r>
      <w:r w:rsidR="007A002A">
        <w:t>PRB grids in time or in frequency – somewhat similar as in the case of multiple numerologies – w</w:t>
      </w:r>
      <w:r w:rsidR="00973E1B">
        <w:t>ould</w:t>
      </w:r>
      <w:r w:rsidR="007A002A">
        <w:t xml:space="preserve"> be needed. </w:t>
      </w:r>
      <w:r w:rsidR="006F503E">
        <w:t>This would increase the complexity and</w:t>
      </w:r>
      <w:r>
        <w:t xml:space="preserve"> reduce the spectrum </w:t>
      </w:r>
      <w:r w:rsidR="004B3C06">
        <w:t>efficiency so that</w:t>
      </w:r>
      <w:r>
        <w:t xml:space="preserve"> </w:t>
      </w:r>
      <w:r w:rsidR="00105120">
        <w:t xml:space="preserve">the </w:t>
      </w:r>
      <w:r w:rsidR="0098750B">
        <w:t>advantage</w:t>
      </w:r>
      <w:r>
        <w:t xml:space="preserve"> for</w:t>
      </w:r>
      <w:r w:rsidR="00105120">
        <w:t xml:space="preserve"> a</w:t>
      </w:r>
      <w:r>
        <w:t xml:space="preserve"> network to deploy </w:t>
      </w:r>
      <w:r w:rsidR="00516766">
        <w:t xml:space="preserve">a </w:t>
      </w:r>
      <w:r>
        <w:t xml:space="preserve">new channel bandwidth </w:t>
      </w:r>
      <w:r w:rsidR="0098750B">
        <w:t xml:space="preserve">of 45 MHz instead of </w:t>
      </w:r>
      <w:r w:rsidR="004B3C06">
        <w:t>2 adjacent carriers of</w:t>
      </w:r>
      <w:r w:rsidR="0098750B">
        <w:t xml:space="preserve"> 40 MHz and 5 MHz </w:t>
      </w:r>
      <w:r w:rsidR="004B3C06">
        <w:t>would be l</w:t>
      </w:r>
      <w:r w:rsidR="00105120">
        <w:t>os</w:t>
      </w:r>
      <w:r w:rsidR="004B3C06">
        <w:t>t</w:t>
      </w:r>
      <w:r>
        <w:t>.</w:t>
      </w:r>
      <w:r w:rsidR="00875F80">
        <w:t xml:space="preserve"> Thus, the </w:t>
      </w:r>
      <w:r w:rsidR="00C251DA">
        <w:t xml:space="preserve">PRB </w:t>
      </w:r>
      <w:r w:rsidR="00875F80">
        <w:t>alignment</w:t>
      </w:r>
      <w:r w:rsidR="00C251DA">
        <w:t xml:space="preserve"> i</w:t>
      </w:r>
      <w:r w:rsidR="00875F80">
        <w:t xml:space="preserve">s </w:t>
      </w:r>
      <w:r w:rsidR="006F503E">
        <w:t>needed</w:t>
      </w:r>
      <w:r w:rsidR="00875F80">
        <w:t xml:space="preserve"> for </w:t>
      </w:r>
      <w:r w:rsidR="00973E1B">
        <w:t>the new channel bandwidth of 45 MHz to provide an advantage</w:t>
      </w:r>
      <w:r w:rsidR="00875F80">
        <w:t>.</w:t>
      </w:r>
    </w:p>
    <w:p w14:paraId="78CDF3F6" w14:textId="7374FEA3" w:rsidR="001F46D8" w:rsidRPr="001F46D8" w:rsidRDefault="001F46D8" w:rsidP="001F46D8">
      <w:pPr>
        <w:rPr>
          <w:b/>
          <w:bCs/>
          <w:i/>
          <w:iCs/>
        </w:rPr>
      </w:pPr>
      <w:r w:rsidRPr="001F46D8">
        <w:rPr>
          <w:b/>
          <w:bCs/>
          <w:i/>
          <w:iCs/>
        </w:rPr>
        <w:t>Observation</w:t>
      </w:r>
      <w:r>
        <w:rPr>
          <w:b/>
          <w:bCs/>
          <w:i/>
          <w:iCs/>
        </w:rPr>
        <w:t xml:space="preserve"> 1</w:t>
      </w:r>
      <w:r w:rsidRPr="001F46D8">
        <w:rPr>
          <w:b/>
          <w:bCs/>
          <w:i/>
          <w:iCs/>
        </w:rPr>
        <w:t xml:space="preserve">: The PRB grid alignment </w:t>
      </w:r>
      <w:r w:rsidR="00875F80">
        <w:rPr>
          <w:b/>
          <w:bCs/>
          <w:i/>
          <w:iCs/>
        </w:rPr>
        <w:t xml:space="preserve">between </w:t>
      </w:r>
      <w:r w:rsidRPr="001F46D8">
        <w:rPr>
          <w:b/>
          <w:bCs/>
          <w:i/>
          <w:iCs/>
        </w:rPr>
        <w:t>new and legacy channel bandwidths</w:t>
      </w:r>
      <w:r w:rsidR="00672FC6">
        <w:rPr>
          <w:b/>
          <w:bCs/>
          <w:i/>
          <w:iCs/>
        </w:rPr>
        <w:t xml:space="preserve"> is important</w:t>
      </w:r>
      <w:r w:rsidRPr="001F46D8">
        <w:rPr>
          <w:b/>
          <w:bCs/>
          <w:i/>
          <w:iCs/>
        </w:rPr>
        <w:t>.</w:t>
      </w:r>
    </w:p>
    <w:p w14:paraId="398B2D53" w14:textId="0E368258" w:rsidR="000E48DF" w:rsidRDefault="001F46D8" w:rsidP="001F46D8">
      <w:r>
        <w:t xml:space="preserve">One possible solution is to adjust the number of PRBs between new and legacy channel bandwidths, so that the grid alignment </w:t>
      </w:r>
      <w:r w:rsidR="00C251DA">
        <w:t>is</w:t>
      </w:r>
      <w:r>
        <w:t xml:space="preserve"> maintained.</w:t>
      </w:r>
    </w:p>
    <w:p w14:paraId="4BD64749" w14:textId="1747D38B" w:rsidR="003E1D65" w:rsidRDefault="000E48DF" w:rsidP="001F46D8">
      <w:r w:rsidRPr="000E48DF">
        <w:t>The largest channel bandwidth for legacy UEs with an odd number of PRBs at 15 kHz SCS is 25 MHz which would be substantially lower than the 40 MHz that are possible today. Hence the advantage that new UEs can get a channel bandwidth of 45 MHz without carrier aggregation would be offset by a substantial disadvantage for the legacy UEs' peak throughput.</w:t>
      </w:r>
    </w:p>
    <w:p w14:paraId="06E4C4B3" w14:textId="364B290F" w:rsidR="001F46D8" w:rsidRDefault="001F46D8" w:rsidP="001F46D8">
      <w:pPr>
        <w:rPr>
          <w:rFonts w:eastAsiaTheme="minorEastAsia"/>
          <w:lang w:val="en-US" w:eastAsia="zh-CN"/>
        </w:rPr>
      </w:pPr>
      <w:r>
        <w:t xml:space="preserve">One </w:t>
      </w:r>
      <w:r w:rsidR="00F779F5">
        <w:t>solution</w:t>
      </w:r>
      <w:r>
        <w:t xml:space="preserve"> proposed during </w:t>
      </w:r>
      <w:r w:rsidR="00CC2F00">
        <w:t xml:space="preserve">the </w:t>
      </w:r>
      <w:r>
        <w:t xml:space="preserve">email discussion [1] by Huawei </w:t>
      </w:r>
      <w:r w:rsidR="003E1D65">
        <w:t>was</w:t>
      </w:r>
      <w:r>
        <w:t xml:space="preserve"> to configure </w:t>
      </w:r>
      <w:r>
        <w:rPr>
          <w:rFonts w:eastAsiaTheme="minorEastAsia"/>
          <w:lang w:val="en-US" w:eastAsia="zh-CN"/>
        </w:rPr>
        <w:t>N</w:t>
      </w:r>
      <w:r w:rsidRPr="003D7B49">
        <w:rPr>
          <w:rFonts w:eastAsiaTheme="minorEastAsia"/>
          <w:vertAlign w:val="subscript"/>
          <w:lang w:val="en-US" w:eastAsia="zh-CN"/>
        </w:rPr>
        <w:t>RB</w:t>
      </w:r>
      <w:r>
        <w:rPr>
          <w:rFonts w:eastAsiaTheme="minorEastAsia"/>
          <w:lang w:val="en-US" w:eastAsia="zh-CN"/>
        </w:rPr>
        <w:t xml:space="preserve">=215 for the legacy UEs, which is 1 PRB reduced from the maximum spectrum utilization for legacy UEs. However, it is not </w:t>
      </w:r>
      <w:r w:rsidR="009F367A">
        <w:rPr>
          <w:rFonts w:eastAsiaTheme="minorEastAsia"/>
          <w:lang w:val="en-US" w:eastAsia="zh-CN"/>
        </w:rPr>
        <w:t xml:space="preserve">yet </w:t>
      </w:r>
      <w:r>
        <w:rPr>
          <w:rFonts w:eastAsiaTheme="minorEastAsia"/>
          <w:lang w:val="en-US" w:eastAsia="zh-CN"/>
        </w:rPr>
        <w:t>confirmed if such configurations are supported by all legacy UEs.</w:t>
      </w:r>
    </w:p>
    <w:p w14:paraId="26C1D9E6" w14:textId="686F8D3F" w:rsidR="001F46D8" w:rsidRDefault="001F46D8" w:rsidP="001F46D8">
      <w:pPr>
        <w:rPr>
          <w:rFonts w:eastAsiaTheme="minorEastAsia"/>
          <w:lang w:val="en-US" w:eastAsia="zh-CN"/>
        </w:rPr>
      </w:pPr>
      <w:r>
        <w:rPr>
          <w:rFonts w:eastAsiaTheme="minorEastAsia"/>
          <w:lang w:val="en-US" w:eastAsia="zh-CN"/>
        </w:rPr>
        <w:t xml:space="preserve">Another solution is to adjust the </w:t>
      </w:r>
      <w:r w:rsidR="00C251DA">
        <w:rPr>
          <w:rFonts w:eastAsiaTheme="minorEastAsia"/>
          <w:lang w:val="en-US" w:eastAsia="zh-CN"/>
        </w:rPr>
        <w:t xml:space="preserve">number of </w:t>
      </w:r>
      <w:r>
        <w:rPr>
          <w:rFonts w:eastAsiaTheme="minorEastAsia"/>
          <w:lang w:val="en-US" w:eastAsia="zh-CN"/>
        </w:rPr>
        <w:t>PRB</w:t>
      </w:r>
      <w:r w:rsidR="00C251DA">
        <w:rPr>
          <w:rFonts w:eastAsiaTheme="minorEastAsia"/>
          <w:lang w:val="en-US" w:eastAsia="zh-CN"/>
        </w:rPr>
        <w:t>s</w:t>
      </w:r>
      <w:r>
        <w:rPr>
          <w:rFonts w:eastAsiaTheme="minorEastAsia"/>
          <w:lang w:val="en-US" w:eastAsia="zh-CN"/>
        </w:rPr>
        <w:t xml:space="preserve"> </w:t>
      </w:r>
      <w:r w:rsidR="0070116E">
        <w:rPr>
          <w:rFonts w:eastAsiaTheme="minorEastAsia"/>
          <w:lang w:val="en-US" w:eastAsia="zh-CN"/>
        </w:rPr>
        <w:t xml:space="preserve">for </w:t>
      </w:r>
      <w:r>
        <w:rPr>
          <w:rFonts w:eastAsiaTheme="minorEastAsia"/>
          <w:lang w:val="en-US" w:eastAsia="zh-CN"/>
        </w:rPr>
        <w:t>45 MHz, for example</w:t>
      </w:r>
      <w:r w:rsidR="002B48AA">
        <w:rPr>
          <w:rFonts w:eastAsiaTheme="minorEastAsia"/>
          <w:lang w:val="en-US" w:eastAsia="zh-CN"/>
        </w:rPr>
        <w:t>,</w:t>
      </w:r>
      <w:r>
        <w:rPr>
          <w:rFonts w:eastAsiaTheme="minorEastAsia"/>
          <w:lang w:val="en-US" w:eastAsia="zh-CN"/>
        </w:rPr>
        <w:t xml:space="preserve"> N</w:t>
      </w:r>
      <w:r w:rsidRPr="003D7B49">
        <w:rPr>
          <w:rFonts w:eastAsiaTheme="minorEastAsia"/>
          <w:vertAlign w:val="subscript"/>
          <w:lang w:val="en-US" w:eastAsia="zh-CN"/>
        </w:rPr>
        <w:t>RB</w:t>
      </w:r>
      <w:r>
        <w:rPr>
          <w:rFonts w:eastAsiaTheme="minorEastAsia"/>
          <w:lang w:val="en-US" w:eastAsia="zh-CN"/>
        </w:rPr>
        <w:t xml:space="preserve">=242 for 45 MHz </w:t>
      </w:r>
      <w:r w:rsidR="002B48AA">
        <w:rPr>
          <w:rFonts w:eastAsiaTheme="minorEastAsia"/>
          <w:lang w:val="en-US" w:eastAsia="zh-CN"/>
        </w:rPr>
        <w:t xml:space="preserve">can be used </w:t>
      </w:r>
      <w:r>
        <w:rPr>
          <w:rFonts w:eastAsiaTheme="minorEastAsia"/>
          <w:lang w:val="en-US" w:eastAsia="zh-CN"/>
        </w:rPr>
        <w:t xml:space="preserve">instead of </w:t>
      </w:r>
      <w:r w:rsidR="002B48AA">
        <w:rPr>
          <w:rFonts w:eastAsiaTheme="minorEastAsia" w:hint="eastAsia"/>
          <w:lang w:val="en-US" w:eastAsia="ja-JP"/>
        </w:rPr>
        <w:t>changing</w:t>
      </w:r>
      <w:r>
        <w:rPr>
          <w:rFonts w:eastAsiaTheme="minorEastAsia"/>
          <w:lang w:val="en-US" w:eastAsia="zh-CN"/>
        </w:rPr>
        <w:t xml:space="preserve"> the legacy UE configuration.</w:t>
      </w:r>
    </w:p>
    <w:p w14:paraId="3D3A5515" w14:textId="2F599775" w:rsidR="00BB1762" w:rsidRPr="001F46D8" w:rsidRDefault="00BB1762" w:rsidP="00BB1762">
      <w:pPr>
        <w:rPr>
          <w:b/>
          <w:bCs/>
          <w:i/>
          <w:iCs/>
        </w:rPr>
      </w:pPr>
      <w:r w:rsidRPr="001F46D8">
        <w:rPr>
          <w:b/>
          <w:bCs/>
          <w:i/>
          <w:iCs/>
        </w:rPr>
        <w:t>Observation</w:t>
      </w:r>
      <w:r>
        <w:rPr>
          <w:b/>
          <w:bCs/>
          <w:i/>
          <w:iCs/>
        </w:rPr>
        <w:t xml:space="preserve"> 2</w:t>
      </w:r>
      <w:r w:rsidRPr="001F46D8">
        <w:rPr>
          <w:b/>
          <w:bCs/>
          <w:i/>
          <w:iCs/>
        </w:rPr>
        <w:t xml:space="preserve">: The PRB grid alignment </w:t>
      </w:r>
      <w:r>
        <w:rPr>
          <w:b/>
          <w:bCs/>
          <w:i/>
          <w:iCs/>
        </w:rPr>
        <w:t>can be maintained by reducing the number of PRB</w:t>
      </w:r>
      <w:r w:rsidR="00C251DA">
        <w:rPr>
          <w:b/>
          <w:bCs/>
          <w:i/>
          <w:iCs/>
        </w:rPr>
        <w:t>s</w:t>
      </w:r>
      <w:r>
        <w:rPr>
          <w:b/>
          <w:bCs/>
          <w:i/>
          <w:iCs/>
        </w:rPr>
        <w:t xml:space="preserve"> in either </w:t>
      </w:r>
      <w:r w:rsidR="00C251DA">
        <w:rPr>
          <w:b/>
          <w:bCs/>
          <w:i/>
          <w:iCs/>
        </w:rPr>
        <w:t>the</w:t>
      </w:r>
      <w:r>
        <w:rPr>
          <w:b/>
          <w:bCs/>
          <w:i/>
          <w:iCs/>
        </w:rPr>
        <w:t xml:space="preserve"> legacy or </w:t>
      </w:r>
      <w:r w:rsidR="00C251DA">
        <w:rPr>
          <w:b/>
          <w:bCs/>
          <w:i/>
          <w:iCs/>
        </w:rPr>
        <w:t xml:space="preserve">the </w:t>
      </w:r>
      <w:r>
        <w:rPr>
          <w:b/>
          <w:bCs/>
          <w:i/>
          <w:iCs/>
        </w:rPr>
        <w:t>new channel bandwidth</w:t>
      </w:r>
      <w:r w:rsidRPr="001F46D8">
        <w:rPr>
          <w:b/>
          <w:bCs/>
          <w:i/>
          <w:iCs/>
        </w:rPr>
        <w:t>.</w:t>
      </w:r>
    </w:p>
    <w:p w14:paraId="42A208CF" w14:textId="1B14419E" w:rsidR="001F46D8" w:rsidRDefault="00E93266" w:rsidP="001F46D8">
      <w:pPr>
        <w:rPr>
          <w:rFonts w:eastAsiaTheme="minorEastAsia"/>
          <w:lang w:val="en-US" w:eastAsia="zh-CN"/>
        </w:rPr>
      </w:pPr>
      <w:r>
        <w:rPr>
          <w:rFonts w:eastAsiaTheme="minorEastAsia"/>
          <w:lang w:val="en-US" w:eastAsia="zh-CN"/>
        </w:rPr>
        <w:lastRenderedPageBreak/>
        <w:t>However, this solution will also reduce the spectrum utilization, though it is only 1 PRB. Furthermore, all MPR study ma</w:t>
      </w:r>
      <w:r w:rsidR="00C251DA">
        <w:rPr>
          <w:rFonts w:eastAsiaTheme="minorEastAsia"/>
          <w:lang w:val="en-US" w:eastAsia="zh-CN"/>
        </w:rPr>
        <w:t>y</w:t>
      </w:r>
      <w:r>
        <w:rPr>
          <w:rFonts w:eastAsiaTheme="minorEastAsia"/>
          <w:lang w:val="en-US" w:eastAsia="zh-CN"/>
        </w:rPr>
        <w:t xml:space="preserve"> need to be revisited.</w:t>
      </w:r>
    </w:p>
    <w:p w14:paraId="4079D328" w14:textId="145842BD" w:rsidR="00E93266" w:rsidRDefault="00E93266" w:rsidP="001F46D8">
      <w:pPr>
        <w:rPr>
          <w:rFonts w:eastAsiaTheme="minorEastAsia"/>
          <w:lang w:val="en-US" w:eastAsia="zh-CN"/>
        </w:rPr>
      </w:pPr>
      <w:r>
        <w:rPr>
          <w:rFonts w:eastAsiaTheme="minorEastAsia"/>
          <w:lang w:val="en-US" w:eastAsia="zh-CN"/>
        </w:rPr>
        <w:t>In order to maintain the maximum spectrum utilization, adjusting the channel raster is also a possible way to mitigate this issue. If all NR-ARFCN with 5 kHz granularity is supported, it is easy to a</w:t>
      </w:r>
      <w:r w:rsidR="00C251DA">
        <w:rPr>
          <w:rFonts w:eastAsiaTheme="minorEastAsia"/>
          <w:lang w:val="en-US" w:eastAsia="zh-CN"/>
        </w:rPr>
        <w:t>chieve</w:t>
      </w:r>
      <w:r>
        <w:rPr>
          <w:rFonts w:eastAsiaTheme="minorEastAsia"/>
          <w:lang w:val="en-US" w:eastAsia="zh-CN"/>
        </w:rPr>
        <w:t xml:space="preserve"> the PRB grid alignment between legacy and new UE channel bandwidths. From RRC point of view, NR-ARFCN is signaled for the Point A frequency which is already supporting 5 kHz granularity for FR1 bands below 3 GHz.</w:t>
      </w:r>
      <w:r w:rsidR="005843A6">
        <w:rPr>
          <w:rFonts w:eastAsiaTheme="minorEastAsia"/>
          <w:lang w:val="en-US" w:eastAsia="zh-CN"/>
        </w:rPr>
        <w:t xml:space="preserve"> </w:t>
      </w:r>
      <w:r w:rsidR="00B57B8A">
        <w:rPr>
          <w:rFonts w:eastAsiaTheme="minorEastAsia"/>
          <w:lang w:val="en-US" w:eastAsia="zh-CN"/>
        </w:rPr>
        <w:t xml:space="preserve">Furthermore, </w:t>
      </w:r>
      <w:r w:rsidR="005843A6">
        <w:rPr>
          <w:rFonts w:eastAsiaTheme="minorEastAsia"/>
          <w:lang w:val="en-US" w:eastAsia="zh-CN"/>
        </w:rPr>
        <w:t>TS 38.101-1 subclause 5.3.1 reads: “</w:t>
      </w:r>
      <w:r w:rsidR="005843A6" w:rsidRPr="001C0CC4">
        <w:rPr>
          <w:rFonts w:eastAsia="Yu Mincho"/>
        </w:rPr>
        <w:t>The placement of the UE channel bandwidth for each UE carrier is flexible but can only be completely within the BS channel bandwidth.</w:t>
      </w:r>
      <w:r w:rsidR="005843A6">
        <w:rPr>
          <w:rFonts w:eastAsiaTheme="minorEastAsia"/>
          <w:lang w:val="en-US" w:eastAsia="zh-CN"/>
        </w:rPr>
        <w:t>”</w:t>
      </w:r>
      <w:r w:rsidR="00B57B8A">
        <w:rPr>
          <w:rFonts w:eastAsiaTheme="minorEastAsia"/>
          <w:lang w:val="en-US" w:eastAsia="zh-CN"/>
        </w:rPr>
        <w:t xml:space="preserve"> This </w:t>
      </w:r>
      <w:r w:rsidR="00733A54">
        <w:rPr>
          <w:rFonts w:eastAsiaTheme="minorEastAsia"/>
          <w:lang w:val="en-US" w:eastAsia="zh-CN"/>
        </w:rPr>
        <w:t>indicate</w:t>
      </w:r>
      <w:r w:rsidR="00B57B8A">
        <w:rPr>
          <w:rFonts w:eastAsiaTheme="minorEastAsia"/>
          <w:lang w:val="en-US" w:eastAsia="zh-CN"/>
        </w:rPr>
        <w:t xml:space="preserve">s that the legacy UE channel bandwidth of 40 MHz need not be centred to a frequency on the 100 kHz channel raster when </w:t>
      </w:r>
      <w:r w:rsidR="001F19EF">
        <w:rPr>
          <w:rFonts w:eastAsiaTheme="minorEastAsia"/>
          <w:lang w:val="en-US" w:eastAsia="zh-CN"/>
        </w:rPr>
        <w:t>it is operated inside a 45 MHz wide channel</w:t>
      </w:r>
      <w:r w:rsidR="00062B85">
        <w:rPr>
          <w:rFonts w:eastAsiaTheme="minorEastAsia"/>
          <w:lang w:val="en-US" w:eastAsia="zh-CN"/>
        </w:rPr>
        <w:t>, but can be placed as flexibly as a bandwidth part</w:t>
      </w:r>
      <w:r w:rsidR="001F19EF">
        <w:rPr>
          <w:rFonts w:eastAsiaTheme="minorEastAsia"/>
          <w:lang w:val="en-US" w:eastAsia="zh-CN"/>
        </w:rPr>
        <w:t>.</w:t>
      </w:r>
    </w:p>
    <w:p w14:paraId="14DEEBE5" w14:textId="2F93EF20" w:rsidR="00BB1762" w:rsidRPr="001F46D8" w:rsidRDefault="00BB1762" w:rsidP="00BB1762">
      <w:pPr>
        <w:rPr>
          <w:b/>
          <w:bCs/>
          <w:i/>
          <w:iCs/>
        </w:rPr>
      </w:pPr>
      <w:r w:rsidRPr="001F46D8">
        <w:rPr>
          <w:b/>
          <w:bCs/>
          <w:i/>
          <w:iCs/>
        </w:rPr>
        <w:t>Observation</w:t>
      </w:r>
      <w:r>
        <w:rPr>
          <w:b/>
          <w:bCs/>
          <w:i/>
          <w:iCs/>
        </w:rPr>
        <w:t xml:space="preserve"> 3</w:t>
      </w:r>
      <w:r w:rsidRPr="001F46D8">
        <w:rPr>
          <w:b/>
          <w:bCs/>
          <w:i/>
          <w:iCs/>
        </w:rPr>
        <w:t xml:space="preserve">: </w:t>
      </w:r>
      <w:r w:rsidR="005843A6">
        <w:rPr>
          <w:b/>
          <w:bCs/>
          <w:i/>
          <w:iCs/>
        </w:rPr>
        <w:t>Applying a</w:t>
      </w:r>
      <w:r>
        <w:rPr>
          <w:b/>
          <w:bCs/>
          <w:i/>
          <w:iCs/>
        </w:rPr>
        <w:t xml:space="preserve"> 5 kHz channel </w:t>
      </w:r>
      <w:r w:rsidR="005843A6">
        <w:rPr>
          <w:b/>
          <w:bCs/>
          <w:i/>
          <w:iCs/>
        </w:rPr>
        <w:t xml:space="preserve">raster for the legacy UEs' channel </w:t>
      </w:r>
      <w:r>
        <w:rPr>
          <w:b/>
          <w:bCs/>
          <w:i/>
          <w:iCs/>
        </w:rPr>
        <w:t>bandwidth</w:t>
      </w:r>
      <w:r w:rsidR="00FC2439">
        <w:rPr>
          <w:b/>
          <w:bCs/>
          <w:i/>
          <w:iCs/>
        </w:rPr>
        <w:t xml:space="preserve"> (similar to a bandwidth part)</w:t>
      </w:r>
      <w:r>
        <w:rPr>
          <w:b/>
          <w:bCs/>
          <w:i/>
          <w:iCs/>
        </w:rPr>
        <w:t xml:space="preserve"> can also </w:t>
      </w:r>
      <w:r w:rsidR="006B692D">
        <w:rPr>
          <w:b/>
          <w:bCs/>
          <w:i/>
          <w:iCs/>
        </w:rPr>
        <w:t>solve</w:t>
      </w:r>
      <w:r>
        <w:rPr>
          <w:b/>
          <w:bCs/>
          <w:i/>
          <w:iCs/>
        </w:rPr>
        <w:t xml:space="preserve"> the PRB grid alignment.</w:t>
      </w:r>
    </w:p>
    <w:p w14:paraId="68A5C8CE" w14:textId="59496CD9" w:rsidR="00BB1762" w:rsidRPr="001F46D8" w:rsidRDefault="00BB1762" w:rsidP="00BB1762">
      <w:pPr>
        <w:rPr>
          <w:b/>
          <w:bCs/>
          <w:i/>
          <w:iCs/>
        </w:rPr>
      </w:pPr>
      <w:r>
        <w:rPr>
          <w:b/>
          <w:bCs/>
          <w:i/>
          <w:iCs/>
        </w:rPr>
        <w:t>Proposal 1</w:t>
      </w:r>
      <w:r w:rsidRPr="001F46D8">
        <w:rPr>
          <w:b/>
          <w:bCs/>
          <w:i/>
          <w:iCs/>
        </w:rPr>
        <w:t xml:space="preserve">: </w:t>
      </w:r>
      <w:r>
        <w:rPr>
          <w:b/>
          <w:bCs/>
          <w:i/>
          <w:iCs/>
        </w:rPr>
        <w:t xml:space="preserve">The UE support of all NR-ARFCN </w:t>
      </w:r>
      <w:r w:rsidR="00E93266">
        <w:rPr>
          <w:b/>
          <w:bCs/>
          <w:i/>
          <w:iCs/>
        </w:rPr>
        <w:t xml:space="preserve">with 5 kHz granularity </w:t>
      </w:r>
      <w:r>
        <w:rPr>
          <w:b/>
          <w:bCs/>
          <w:i/>
          <w:iCs/>
        </w:rPr>
        <w:t xml:space="preserve">for FR1 bands </w:t>
      </w:r>
      <w:r w:rsidR="00E93266">
        <w:rPr>
          <w:b/>
          <w:bCs/>
          <w:i/>
          <w:iCs/>
        </w:rPr>
        <w:t>with 100 kHz channel raster</w:t>
      </w:r>
      <w:r>
        <w:rPr>
          <w:b/>
          <w:bCs/>
          <w:i/>
          <w:iCs/>
        </w:rPr>
        <w:t xml:space="preserve"> shall be </w:t>
      </w:r>
      <w:r w:rsidR="0088749E">
        <w:rPr>
          <w:b/>
          <w:bCs/>
          <w:i/>
          <w:iCs/>
        </w:rPr>
        <w:t>assumed</w:t>
      </w:r>
      <w:r w:rsidR="00840AF5" w:rsidRPr="00840AF5">
        <w:rPr>
          <w:b/>
          <w:bCs/>
          <w:i/>
          <w:iCs/>
        </w:rPr>
        <w:t xml:space="preserve"> for </w:t>
      </w:r>
      <w:r w:rsidR="00840AF5">
        <w:rPr>
          <w:b/>
          <w:bCs/>
          <w:i/>
          <w:iCs/>
        </w:rPr>
        <w:t xml:space="preserve">a </w:t>
      </w:r>
      <w:r w:rsidR="00840AF5" w:rsidRPr="00840AF5">
        <w:rPr>
          <w:b/>
          <w:bCs/>
          <w:i/>
          <w:iCs/>
        </w:rPr>
        <w:t xml:space="preserve">smaller </w:t>
      </w:r>
      <w:r w:rsidR="00840AF5">
        <w:rPr>
          <w:b/>
          <w:bCs/>
          <w:i/>
          <w:iCs/>
        </w:rPr>
        <w:t xml:space="preserve">UE </w:t>
      </w:r>
      <w:r w:rsidR="00840AF5" w:rsidRPr="00840AF5">
        <w:rPr>
          <w:b/>
          <w:bCs/>
          <w:i/>
          <w:iCs/>
        </w:rPr>
        <w:t>channel bandwidth operating inside a wider channel bandwidth</w:t>
      </w:r>
      <w:r w:rsidR="0088749E">
        <w:rPr>
          <w:b/>
          <w:bCs/>
          <w:i/>
          <w:iCs/>
        </w:rPr>
        <w:t>, and this understanding shall be clarified in TS 38.101-1, e.g. in the subclauses 5.3.1 and 5.4.2.3</w:t>
      </w:r>
      <w:r>
        <w:rPr>
          <w:b/>
          <w:bCs/>
          <w:i/>
          <w:iCs/>
        </w:rPr>
        <w:t>.</w:t>
      </w:r>
    </w:p>
    <w:p w14:paraId="16207F8D" w14:textId="6025C195" w:rsidR="004D7480" w:rsidRPr="00DC6358" w:rsidRDefault="004D7480" w:rsidP="004D7480">
      <w:pPr>
        <w:pStyle w:val="Heading1"/>
      </w:pPr>
      <w:r>
        <w:t>Conclusion</w:t>
      </w:r>
    </w:p>
    <w:p w14:paraId="45CB22B8" w14:textId="70E1B2F2" w:rsidR="00BB1762" w:rsidRPr="00BB1762" w:rsidRDefault="00BB1762" w:rsidP="00BB1762">
      <w:r>
        <w:t>In this contribution, the channel bandwidth nesting of legacy UE channel bandwidth within the new channel bandwidth is discussed. For better spectrum utilization, it is proposed to enable all NR-ARFCN for FR1 bands</w:t>
      </w:r>
      <w:r w:rsidR="0065165E">
        <w:t xml:space="preserve"> for legacy UEs' smaller channel bandwidths operating inside a wider channel bandwidth and thus to provide the same flexibility as for a bandwidth part</w:t>
      </w:r>
      <w:r w:rsidR="00BB5FB3">
        <w:t>'s frequency</w:t>
      </w:r>
      <w:r>
        <w:t>.</w:t>
      </w:r>
    </w:p>
    <w:p w14:paraId="096A7F9A" w14:textId="77777777" w:rsidR="003D7B49" w:rsidRPr="001F46D8" w:rsidRDefault="003D7B49" w:rsidP="003D7B49">
      <w:pPr>
        <w:rPr>
          <w:b/>
          <w:bCs/>
          <w:i/>
          <w:iCs/>
        </w:rPr>
      </w:pPr>
      <w:r w:rsidRPr="001F46D8">
        <w:rPr>
          <w:b/>
          <w:bCs/>
          <w:i/>
          <w:iCs/>
        </w:rPr>
        <w:t>Observation</w:t>
      </w:r>
      <w:r>
        <w:rPr>
          <w:b/>
          <w:bCs/>
          <w:i/>
          <w:iCs/>
        </w:rPr>
        <w:t xml:space="preserve"> 1</w:t>
      </w:r>
      <w:r w:rsidRPr="001F46D8">
        <w:rPr>
          <w:b/>
          <w:bCs/>
          <w:i/>
          <w:iCs/>
        </w:rPr>
        <w:t xml:space="preserve">: The PRB grid alignment </w:t>
      </w:r>
      <w:r>
        <w:rPr>
          <w:b/>
          <w:bCs/>
          <w:i/>
          <w:iCs/>
        </w:rPr>
        <w:t xml:space="preserve">between </w:t>
      </w:r>
      <w:r w:rsidRPr="001F46D8">
        <w:rPr>
          <w:b/>
          <w:bCs/>
          <w:i/>
          <w:iCs/>
        </w:rPr>
        <w:t>new and legacy channel bandwidths</w:t>
      </w:r>
      <w:r>
        <w:rPr>
          <w:b/>
          <w:bCs/>
          <w:i/>
          <w:iCs/>
        </w:rPr>
        <w:t xml:space="preserve"> is important</w:t>
      </w:r>
      <w:r w:rsidRPr="001F46D8">
        <w:rPr>
          <w:b/>
          <w:bCs/>
          <w:i/>
          <w:iCs/>
        </w:rPr>
        <w:t>.</w:t>
      </w:r>
    </w:p>
    <w:p w14:paraId="0E8843A6" w14:textId="77777777" w:rsidR="003D7B49" w:rsidRPr="001F46D8" w:rsidRDefault="003D7B49" w:rsidP="003D7B49">
      <w:pPr>
        <w:rPr>
          <w:b/>
          <w:bCs/>
          <w:i/>
          <w:iCs/>
        </w:rPr>
      </w:pPr>
      <w:r w:rsidRPr="001F46D8">
        <w:rPr>
          <w:b/>
          <w:bCs/>
          <w:i/>
          <w:iCs/>
        </w:rPr>
        <w:t>Observation</w:t>
      </w:r>
      <w:r>
        <w:rPr>
          <w:b/>
          <w:bCs/>
          <w:i/>
          <w:iCs/>
        </w:rPr>
        <w:t xml:space="preserve"> 2</w:t>
      </w:r>
      <w:r w:rsidRPr="001F46D8">
        <w:rPr>
          <w:b/>
          <w:bCs/>
          <w:i/>
          <w:iCs/>
        </w:rPr>
        <w:t xml:space="preserve">: The PRB grid alignment </w:t>
      </w:r>
      <w:r>
        <w:rPr>
          <w:b/>
          <w:bCs/>
          <w:i/>
          <w:iCs/>
        </w:rPr>
        <w:t>can be maintained by reducing the number of PRBs in either the legacy or the new channel bandwidth</w:t>
      </w:r>
      <w:r w:rsidRPr="001F46D8">
        <w:rPr>
          <w:b/>
          <w:bCs/>
          <w:i/>
          <w:iCs/>
        </w:rPr>
        <w:t>.</w:t>
      </w:r>
    </w:p>
    <w:p w14:paraId="5058C460" w14:textId="77777777" w:rsidR="003D7B49" w:rsidRPr="001F46D8" w:rsidRDefault="003D7B49" w:rsidP="003D7B49">
      <w:pPr>
        <w:rPr>
          <w:b/>
          <w:bCs/>
          <w:i/>
          <w:iCs/>
        </w:rPr>
      </w:pPr>
      <w:bookmarkStart w:id="0" w:name="_GoBack"/>
      <w:bookmarkEnd w:id="0"/>
      <w:r w:rsidRPr="001F46D8">
        <w:rPr>
          <w:b/>
          <w:bCs/>
          <w:i/>
          <w:iCs/>
        </w:rPr>
        <w:t>Observation</w:t>
      </w:r>
      <w:r>
        <w:rPr>
          <w:b/>
          <w:bCs/>
          <w:i/>
          <w:iCs/>
        </w:rPr>
        <w:t xml:space="preserve"> 3</w:t>
      </w:r>
      <w:r w:rsidRPr="001F46D8">
        <w:rPr>
          <w:b/>
          <w:bCs/>
          <w:i/>
          <w:iCs/>
        </w:rPr>
        <w:t xml:space="preserve">: </w:t>
      </w:r>
      <w:r>
        <w:rPr>
          <w:b/>
          <w:bCs/>
          <w:i/>
          <w:iCs/>
        </w:rPr>
        <w:t>Applying a 5 kHz channel raster for the legacy UEs' channel bandwidth (similar to a bandwidth part) can also solve the PRB grid alignment.</w:t>
      </w:r>
    </w:p>
    <w:p w14:paraId="78726E03" w14:textId="77777777" w:rsidR="003D7B49" w:rsidRPr="001F46D8" w:rsidRDefault="003D7B49" w:rsidP="003D7B49">
      <w:pPr>
        <w:rPr>
          <w:b/>
          <w:bCs/>
          <w:i/>
          <w:iCs/>
        </w:rPr>
      </w:pPr>
      <w:r>
        <w:rPr>
          <w:b/>
          <w:bCs/>
          <w:i/>
          <w:iCs/>
        </w:rPr>
        <w:t>Proposal 1</w:t>
      </w:r>
      <w:r w:rsidRPr="001F46D8">
        <w:rPr>
          <w:b/>
          <w:bCs/>
          <w:i/>
          <w:iCs/>
        </w:rPr>
        <w:t xml:space="preserve">: </w:t>
      </w:r>
      <w:r>
        <w:rPr>
          <w:b/>
          <w:bCs/>
          <w:i/>
          <w:iCs/>
        </w:rPr>
        <w:t>The UE support of all NR-ARFCN with 5 kHz granularity for FR1 bands with 100 kHz channel raster shall be assumed</w:t>
      </w:r>
      <w:r w:rsidRPr="00840AF5">
        <w:rPr>
          <w:b/>
          <w:bCs/>
          <w:i/>
          <w:iCs/>
        </w:rPr>
        <w:t xml:space="preserve"> for </w:t>
      </w:r>
      <w:r>
        <w:rPr>
          <w:b/>
          <w:bCs/>
          <w:i/>
          <w:iCs/>
        </w:rPr>
        <w:t xml:space="preserve">a </w:t>
      </w:r>
      <w:r w:rsidRPr="00840AF5">
        <w:rPr>
          <w:b/>
          <w:bCs/>
          <w:i/>
          <w:iCs/>
        </w:rPr>
        <w:t xml:space="preserve">smaller </w:t>
      </w:r>
      <w:r>
        <w:rPr>
          <w:b/>
          <w:bCs/>
          <w:i/>
          <w:iCs/>
        </w:rPr>
        <w:t xml:space="preserve">UE </w:t>
      </w:r>
      <w:r w:rsidRPr="00840AF5">
        <w:rPr>
          <w:b/>
          <w:bCs/>
          <w:i/>
          <w:iCs/>
        </w:rPr>
        <w:t>channel bandwidth operating inside a wider channel bandwidth</w:t>
      </w:r>
      <w:r>
        <w:rPr>
          <w:b/>
          <w:bCs/>
          <w:i/>
          <w:iCs/>
        </w:rPr>
        <w:t>, and this understanding shall be clarified in TS 38.101-1, e.g. in the subclauses 5.3.1 and 5.4.2.3.</w:t>
      </w:r>
    </w:p>
    <w:p w14:paraId="30894103" w14:textId="7AD69B77" w:rsidR="00DC6358" w:rsidRPr="00DC6358" w:rsidRDefault="00DC6358" w:rsidP="00DC6358">
      <w:pPr>
        <w:pStyle w:val="Heading1"/>
      </w:pPr>
      <w:r>
        <w:t>Reference</w:t>
      </w:r>
    </w:p>
    <w:p w14:paraId="273CB524" w14:textId="03CAE267" w:rsidR="00080512" w:rsidRDefault="00F16B29">
      <w:r>
        <w:t xml:space="preserve">[1] </w:t>
      </w:r>
      <w:r w:rsidR="00CE134F" w:rsidRPr="00CE134F">
        <w:t>R4-2016967</w:t>
      </w:r>
      <w:r w:rsidR="00CE134F" w:rsidRPr="00CE134F">
        <w:tab/>
        <w:t>Email discussion summary for [97e][125] NR_FR1_35MHz_45MHz_BW</w:t>
      </w: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874FE" w14:textId="77777777" w:rsidR="00490502" w:rsidRDefault="00490502">
      <w:r>
        <w:separator/>
      </w:r>
    </w:p>
  </w:endnote>
  <w:endnote w:type="continuationSeparator" w:id="0">
    <w:p w14:paraId="00C0C7EA" w14:textId="77777777" w:rsidR="00490502" w:rsidRDefault="00490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C4502" w14:textId="77777777" w:rsidR="00490502" w:rsidRDefault="00490502">
      <w:r>
        <w:separator/>
      </w:r>
    </w:p>
  </w:footnote>
  <w:footnote w:type="continuationSeparator" w:id="0">
    <w:p w14:paraId="1D145FFA" w14:textId="77777777" w:rsidR="00490502" w:rsidRDefault="00490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6"/>
  </w:num>
  <w:num w:numId="6">
    <w:abstractNumId w:val="7"/>
  </w:num>
  <w:num w:numId="7">
    <w:abstractNumId w:val="16"/>
  </w:num>
  <w:num w:numId="8">
    <w:abstractNumId w:val="14"/>
  </w:num>
  <w:num w:numId="9">
    <w:abstractNumId w:val="9"/>
  </w:num>
  <w:num w:numId="10">
    <w:abstractNumId w:val="13"/>
  </w:num>
  <w:num w:numId="11">
    <w:abstractNumId w:val="17"/>
  </w:num>
  <w:num w:numId="12">
    <w:abstractNumId w:val="4"/>
  </w:num>
  <w:num w:numId="13">
    <w:abstractNumId w:val="19"/>
  </w:num>
  <w:num w:numId="14">
    <w:abstractNumId w:val="5"/>
  </w:num>
  <w:num w:numId="15">
    <w:abstractNumId w:val="12"/>
  </w:num>
  <w:num w:numId="16">
    <w:abstractNumId w:val="20"/>
  </w:num>
  <w:num w:numId="17">
    <w:abstractNumId w:val="10"/>
  </w:num>
  <w:num w:numId="18">
    <w:abstractNumId w:val="2"/>
  </w:num>
  <w:num w:numId="19">
    <w:abstractNumId w:val="15"/>
  </w:num>
  <w:num w:numId="20">
    <w:abstractNumId w:val="8"/>
  </w:num>
  <w:num w:numId="21">
    <w:abstractNumId w:val="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021"/>
    <w:rsid w:val="0001395C"/>
    <w:rsid w:val="00033397"/>
    <w:rsid w:val="00040095"/>
    <w:rsid w:val="00051834"/>
    <w:rsid w:val="00054A22"/>
    <w:rsid w:val="00062023"/>
    <w:rsid w:val="00062B85"/>
    <w:rsid w:val="000655A6"/>
    <w:rsid w:val="00080512"/>
    <w:rsid w:val="00081BD9"/>
    <w:rsid w:val="00084086"/>
    <w:rsid w:val="00096255"/>
    <w:rsid w:val="000B7DB1"/>
    <w:rsid w:val="000C47C3"/>
    <w:rsid w:val="000D58AB"/>
    <w:rsid w:val="000D7463"/>
    <w:rsid w:val="000E48DF"/>
    <w:rsid w:val="000F31BB"/>
    <w:rsid w:val="00105120"/>
    <w:rsid w:val="00113DFC"/>
    <w:rsid w:val="00124C8B"/>
    <w:rsid w:val="00133525"/>
    <w:rsid w:val="00157C6F"/>
    <w:rsid w:val="00162C2D"/>
    <w:rsid w:val="0018720F"/>
    <w:rsid w:val="001A4C42"/>
    <w:rsid w:val="001A7420"/>
    <w:rsid w:val="001B55F3"/>
    <w:rsid w:val="001B6637"/>
    <w:rsid w:val="001C21C3"/>
    <w:rsid w:val="001C70E1"/>
    <w:rsid w:val="001D02C2"/>
    <w:rsid w:val="001F0C1D"/>
    <w:rsid w:val="001F1132"/>
    <w:rsid w:val="001F168B"/>
    <w:rsid w:val="001F19EF"/>
    <w:rsid w:val="001F46D8"/>
    <w:rsid w:val="00205DDA"/>
    <w:rsid w:val="0021588F"/>
    <w:rsid w:val="002347A2"/>
    <w:rsid w:val="00237777"/>
    <w:rsid w:val="002626BC"/>
    <w:rsid w:val="002675F0"/>
    <w:rsid w:val="00270206"/>
    <w:rsid w:val="00292B9D"/>
    <w:rsid w:val="00292BEE"/>
    <w:rsid w:val="002A2F73"/>
    <w:rsid w:val="002A55C1"/>
    <w:rsid w:val="002B48AA"/>
    <w:rsid w:val="002B6339"/>
    <w:rsid w:val="002C432C"/>
    <w:rsid w:val="002D6F2D"/>
    <w:rsid w:val="002E00EE"/>
    <w:rsid w:val="002F4D15"/>
    <w:rsid w:val="003123FE"/>
    <w:rsid w:val="003172DC"/>
    <w:rsid w:val="00323359"/>
    <w:rsid w:val="00326A20"/>
    <w:rsid w:val="00350AE3"/>
    <w:rsid w:val="0035462D"/>
    <w:rsid w:val="00361279"/>
    <w:rsid w:val="00375DED"/>
    <w:rsid w:val="003765B8"/>
    <w:rsid w:val="0039735C"/>
    <w:rsid w:val="003C2B65"/>
    <w:rsid w:val="003C3971"/>
    <w:rsid w:val="003D254C"/>
    <w:rsid w:val="003D7B49"/>
    <w:rsid w:val="003E1D65"/>
    <w:rsid w:val="003E4D6F"/>
    <w:rsid w:val="003E6C12"/>
    <w:rsid w:val="004225D7"/>
    <w:rsid w:val="00423334"/>
    <w:rsid w:val="00426CA5"/>
    <w:rsid w:val="004345EC"/>
    <w:rsid w:val="00446662"/>
    <w:rsid w:val="0045436B"/>
    <w:rsid w:val="00465515"/>
    <w:rsid w:val="00490502"/>
    <w:rsid w:val="00491315"/>
    <w:rsid w:val="00492286"/>
    <w:rsid w:val="00493ABC"/>
    <w:rsid w:val="004B3C06"/>
    <w:rsid w:val="004D3578"/>
    <w:rsid w:val="004D7480"/>
    <w:rsid w:val="004E213A"/>
    <w:rsid w:val="004F0988"/>
    <w:rsid w:val="004F3340"/>
    <w:rsid w:val="004F79C0"/>
    <w:rsid w:val="005064BD"/>
    <w:rsid w:val="00514AEA"/>
    <w:rsid w:val="00516766"/>
    <w:rsid w:val="0053388B"/>
    <w:rsid w:val="00535773"/>
    <w:rsid w:val="00543E6C"/>
    <w:rsid w:val="005522AE"/>
    <w:rsid w:val="00556081"/>
    <w:rsid w:val="00557C3D"/>
    <w:rsid w:val="00561589"/>
    <w:rsid w:val="00565087"/>
    <w:rsid w:val="00572952"/>
    <w:rsid w:val="00574E6D"/>
    <w:rsid w:val="005843A6"/>
    <w:rsid w:val="00597B11"/>
    <w:rsid w:val="005D0DA2"/>
    <w:rsid w:val="005D2E01"/>
    <w:rsid w:val="005D7526"/>
    <w:rsid w:val="005E4BB2"/>
    <w:rsid w:val="005E55B1"/>
    <w:rsid w:val="005E609B"/>
    <w:rsid w:val="00602AEA"/>
    <w:rsid w:val="00614FDF"/>
    <w:rsid w:val="006215F2"/>
    <w:rsid w:val="00625ACA"/>
    <w:rsid w:val="00630334"/>
    <w:rsid w:val="0063543D"/>
    <w:rsid w:val="00637DB7"/>
    <w:rsid w:val="00647114"/>
    <w:rsid w:val="0065165E"/>
    <w:rsid w:val="0066613A"/>
    <w:rsid w:val="00666419"/>
    <w:rsid w:val="0067040A"/>
    <w:rsid w:val="00672FC6"/>
    <w:rsid w:val="00692DD9"/>
    <w:rsid w:val="006942C1"/>
    <w:rsid w:val="006A2212"/>
    <w:rsid w:val="006A323F"/>
    <w:rsid w:val="006A3B64"/>
    <w:rsid w:val="006B30D0"/>
    <w:rsid w:val="006B692D"/>
    <w:rsid w:val="006C249F"/>
    <w:rsid w:val="006C3D95"/>
    <w:rsid w:val="006C58EB"/>
    <w:rsid w:val="006E3752"/>
    <w:rsid w:val="006E429B"/>
    <w:rsid w:val="006E4A01"/>
    <w:rsid w:val="006E5C86"/>
    <w:rsid w:val="006F503E"/>
    <w:rsid w:val="00701116"/>
    <w:rsid w:val="0070116E"/>
    <w:rsid w:val="007047EB"/>
    <w:rsid w:val="007066E6"/>
    <w:rsid w:val="00713C44"/>
    <w:rsid w:val="00720B01"/>
    <w:rsid w:val="00733A54"/>
    <w:rsid w:val="007342EE"/>
    <w:rsid w:val="00734A5B"/>
    <w:rsid w:val="0074026F"/>
    <w:rsid w:val="007429F6"/>
    <w:rsid w:val="00744E76"/>
    <w:rsid w:val="00747417"/>
    <w:rsid w:val="00774DA4"/>
    <w:rsid w:val="00781F0F"/>
    <w:rsid w:val="007A002A"/>
    <w:rsid w:val="007A0B69"/>
    <w:rsid w:val="007A4C0C"/>
    <w:rsid w:val="007B600E"/>
    <w:rsid w:val="007D444E"/>
    <w:rsid w:val="007E537D"/>
    <w:rsid w:val="007F0F4A"/>
    <w:rsid w:val="007F1940"/>
    <w:rsid w:val="007F53E6"/>
    <w:rsid w:val="008028A4"/>
    <w:rsid w:val="00830747"/>
    <w:rsid w:val="00840AF5"/>
    <w:rsid w:val="00843319"/>
    <w:rsid w:val="008440BD"/>
    <w:rsid w:val="00875F80"/>
    <w:rsid w:val="008768CA"/>
    <w:rsid w:val="008803A9"/>
    <w:rsid w:val="00885D62"/>
    <w:rsid w:val="0088749E"/>
    <w:rsid w:val="00895378"/>
    <w:rsid w:val="008A68CE"/>
    <w:rsid w:val="008C384C"/>
    <w:rsid w:val="008F7759"/>
    <w:rsid w:val="0090271F"/>
    <w:rsid w:val="00902E23"/>
    <w:rsid w:val="00907485"/>
    <w:rsid w:val="009114D7"/>
    <w:rsid w:val="0091348E"/>
    <w:rsid w:val="00916F95"/>
    <w:rsid w:val="00917CCB"/>
    <w:rsid w:val="00920E51"/>
    <w:rsid w:val="00942EC2"/>
    <w:rsid w:val="00946A70"/>
    <w:rsid w:val="009548EE"/>
    <w:rsid w:val="009559E0"/>
    <w:rsid w:val="00957086"/>
    <w:rsid w:val="00962D64"/>
    <w:rsid w:val="00973E1B"/>
    <w:rsid w:val="0098750B"/>
    <w:rsid w:val="00997F99"/>
    <w:rsid w:val="009E7D52"/>
    <w:rsid w:val="009F0B8F"/>
    <w:rsid w:val="009F367A"/>
    <w:rsid w:val="009F37B7"/>
    <w:rsid w:val="009F4274"/>
    <w:rsid w:val="00A05BC8"/>
    <w:rsid w:val="00A10F02"/>
    <w:rsid w:val="00A164B4"/>
    <w:rsid w:val="00A26956"/>
    <w:rsid w:val="00A27486"/>
    <w:rsid w:val="00A3356D"/>
    <w:rsid w:val="00A349F8"/>
    <w:rsid w:val="00A37D5D"/>
    <w:rsid w:val="00A403D7"/>
    <w:rsid w:val="00A40FBD"/>
    <w:rsid w:val="00A53724"/>
    <w:rsid w:val="00A55F44"/>
    <w:rsid w:val="00A56066"/>
    <w:rsid w:val="00A57024"/>
    <w:rsid w:val="00A62418"/>
    <w:rsid w:val="00A64C15"/>
    <w:rsid w:val="00A73129"/>
    <w:rsid w:val="00A82346"/>
    <w:rsid w:val="00A85484"/>
    <w:rsid w:val="00A92BA1"/>
    <w:rsid w:val="00AA1006"/>
    <w:rsid w:val="00AA3815"/>
    <w:rsid w:val="00AB5BFD"/>
    <w:rsid w:val="00AC56F6"/>
    <w:rsid w:val="00AC6BC6"/>
    <w:rsid w:val="00AC77C9"/>
    <w:rsid w:val="00AE4E25"/>
    <w:rsid w:val="00AE65E2"/>
    <w:rsid w:val="00AF4ECD"/>
    <w:rsid w:val="00B01746"/>
    <w:rsid w:val="00B05E04"/>
    <w:rsid w:val="00B15449"/>
    <w:rsid w:val="00B34AFE"/>
    <w:rsid w:val="00B35E18"/>
    <w:rsid w:val="00B532EB"/>
    <w:rsid w:val="00B57B8A"/>
    <w:rsid w:val="00B62C25"/>
    <w:rsid w:val="00B649F9"/>
    <w:rsid w:val="00B86985"/>
    <w:rsid w:val="00B93086"/>
    <w:rsid w:val="00BA19ED"/>
    <w:rsid w:val="00BA4B8D"/>
    <w:rsid w:val="00BB1762"/>
    <w:rsid w:val="00BB313E"/>
    <w:rsid w:val="00BB54B4"/>
    <w:rsid w:val="00BB5FB3"/>
    <w:rsid w:val="00BC0F7D"/>
    <w:rsid w:val="00BC71CE"/>
    <w:rsid w:val="00BD4E90"/>
    <w:rsid w:val="00BD7D31"/>
    <w:rsid w:val="00BE3255"/>
    <w:rsid w:val="00BF08AB"/>
    <w:rsid w:val="00BF0A53"/>
    <w:rsid w:val="00BF128E"/>
    <w:rsid w:val="00C0496E"/>
    <w:rsid w:val="00C074DD"/>
    <w:rsid w:val="00C1496A"/>
    <w:rsid w:val="00C21352"/>
    <w:rsid w:val="00C251DA"/>
    <w:rsid w:val="00C33079"/>
    <w:rsid w:val="00C45231"/>
    <w:rsid w:val="00C71D11"/>
    <w:rsid w:val="00C72833"/>
    <w:rsid w:val="00C800FA"/>
    <w:rsid w:val="00C80F1D"/>
    <w:rsid w:val="00C87C13"/>
    <w:rsid w:val="00C93F40"/>
    <w:rsid w:val="00C955EA"/>
    <w:rsid w:val="00CA39FF"/>
    <w:rsid w:val="00CA3D0C"/>
    <w:rsid w:val="00CC2F00"/>
    <w:rsid w:val="00CD18E0"/>
    <w:rsid w:val="00CD5107"/>
    <w:rsid w:val="00CE134F"/>
    <w:rsid w:val="00CE14CA"/>
    <w:rsid w:val="00CF3F9C"/>
    <w:rsid w:val="00CF6B78"/>
    <w:rsid w:val="00D12E04"/>
    <w:rsid w:val="00D1357F"/>
    <w:rsid w:val="00D14595"/>
    <w:rsid w:val="00D22180"/>
    <w:rsid w:val="00D473F8"/>
    <w:rsid w:val="00D57972"/>
    <w:rsid w:val="00D61C3F"/>
    <w:rsid w:val="00D6262C"/>
    <w:rsid w:val="00D675A9"/>
    <w:rsid w:val="00D67A2D"/>
    <w:rsid w:val="00D715EB"/>
    <w:rsid w:val="00D738D6"/>
    <w:rsid w:val="00D755EB"/>
    <w:rsid w:val="00D76048"/>
    <w:rsid w:val="00D873C6"/>
    <w:rsid w:val="00D87E00"/>
    <w:rsid w:val="00D9134D"/>
    <w:rsid w:val="00DA7A03"/>
    <w:rsid w:val="00DB1818"/>
    <w:rsid w:val="00DB64A4"/>
    <w:rsid w:val="00DC068B"/>
    <w:rsid w:val="00DC1779"/>
    <w:rsid w:val="00DC2457"/>
    <w:rsid w:val="00DC309B"/>
    <w:rsid w:val="00DC4DA2"/>
    <w:rsid w:val="00DC6358"/>
    <w:rsid w:val="00DD0ACC"/>
    <w:rsid w:val="00DD4C17"/>
    <w:rsid w:val="00DD5906"/>
    <w:rsid w:val="00DD74A5"/>
    <w:rsid w:val="00DF2B1F"/>
    <w:rsid w:val="00DF62CD"/>
    <w:rsid w:val="00E02131"/>
    <w:rsid w:val="00E16509"/>
    <w:rsid w:val="00E20C12"/>
    <w:rsid w:val="00E24D90"/>
    <w:rsid w:val="00E359ED"/>
    <w:rsid w:val="00E35F95"/>
    <w:rsid w:val="00E44582"/>
    <w:rsid w:val="00E71149"/>
    <w:rsid w:val="00E77645"/>
    <w:rsid w:val="00E93266"/>
    <w:rsid w:val="00E933BB"/>
    <w:rsid w:val="00EA15B0"/>
    <w:rsid w:val="00EA5EA7"/>
    <w:rsid w:val="00EC4A25"/>
    <w:rsid w:val="00EE4C73"/>
    <w:rsid w:val="00F025A2"/>
    <w:rsid w:val="00F04712"/>
    <w:rsid w:val="00F06284"/>
    <w:rsid w:val="00F13360"/>
    <w:rsid w:val="00F1359B"/>
    <w:rsid w:val="00F148FB"/>
    <w:rsid w:val="00F16B29"/>
    <w:rsid w:val="00F22EC7"/>
    <w:rsid w:val="00F31F83"/>
    <w:rsid w:val="00F325C8"/>
    <w:rsid w:val="00F653B8"/>
    <w:rsid w:val="00F717D0"/>
    <w:rsid w:val="00F779F5"/>
    <w:rsid w:val="00F9008D"/>
    <w:rsid w:val="00FA1266"/>
    <w:rsid w:val="00FC0B8E"/>
    <w:rsid w:val="00FC1192"/>
    <w:rsid w:val="00FC2439"/>
    <w:rsid w:val="00FC3951"/>
    <w:rsid w:val="00FE6C2C"/>
    <w:rsid w:val="00FE70CD"/>
    <w:rsid w:val="00FF5B29"/>
    <w:rsid w:val="00FF76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 w:type="character" w:styleId="CommentReference">
    <w:name w:val="annotation reference"/>
    <w:basedOn w:val="DefaultParagraphFont"/>
    <w:rsid w:val="00375DED"/>
    <w:rPr>
      <w:sz w:val="16"/>
      <w:szCs w:val="16"/>
    </w:rPr>
  </w:style>
  <w:style w:type="paragraph" w:styleId="CommentText">
    <w:name w:val="annotation text"/>
    <w:basedOn w:val="Normal"/>
    <w:link w:val="CommentTextChar"/>
    <w:rsid w:val="00375DED"/>
  </w:style>
  <w:style w:type="character" w:customStyle="1" w:styleId="CommentTextChar">
    <w:name w:val="Comment Text Char"/>
    <w:basedOn w:val="DefaultParagraphFont"/>
    <w:link w:val="CommentText"/>
    <w:rsid w:val="00375DED"/>
    <w:rPr>
      <w:lang w:eastAsia="en-US"/>
    </w:rPr>
  </w:style>
  <w:style w:type="paragraph" w:styleId="CommentSubject">
    <w:name w:val="annotation subject"/>
    <w:basedOn w:val="CommentText"/>
    <w:next w:val="CommentText"/>
    <w:link w:val="CommentSubjectChar"/>
    <w:rsid w:val="00375DED"/>
    <w:rPr>
      <w:b/>
      <w:bCs/>
    </w:rPr>
  </w:style>
  <w:style w:type="character" w:customStyle="1" w:styleId="CommentSubjectChar">
    <w:name w:val="Comment Subject Char"/>
    <w:basedOn w:val="CommentTextChar"/>
    <w:link w:val="CommentSubject"/>
    <w:rsid w:val="00375DE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3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A6885-BA01-4861-A093-B420A7008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3</cp:revision>
  <cp:lastPrinted>2019-02-25T14:05:00Z</cp:lastPrinted>
  <dcterms:created xsi:type="dcterms:W3CDTF">2021-01-15T14:29:00Z</dcterms:created>
  <dcterms:modified xsi:type="dcterms:W3CDTF">2021-01-15T14:29:00Z</dcterms:modified>
</cp:coreProperties>
</file>